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7B" w:rsidRDefault="009F137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F137B" w:rsidRDefault="009F137B">
      <w:pPr>
        <w:pStyle w:val="ConsPlusNormal"/>
        <w:jc w:val="both"/>
        <w:outlineLvl w:val="0"/>
      </w:pPr>
    </w:p>
    <w:p w:rsidR="009F137B" w:rsidRDefault="009F137B">
      <w:pPr>
        <w:pStyle w:val="ConsPlusTitle"/>
        <w:jc w:val="center"/>
        <w:outlineLvl w:val="0"/>
      </w:pPr>
      <w:r>
        <w:t>МИНИСТЕРСТВО ТРУДА И СОЦИАЛЬНОГО РАЗВИТИЯ</w:t>
      </w:r>
    </w:p>
    <w:p w:rsidR="009F137B" w:rsidRDefault="009F137B">
      <w:pPr>
        <w:pStyle w:val="ConsPlusTitle"/>
        <w:jc w:val="center"/>
      </w:pPr>
      <w:r>
        <w:t>РЕСПУБЛИКИ ДАГЕСТАН</w:t>
      </w:r>
    </w:p>
    <w:p w:rsidR="009F137B" w:rsidRDefault="009F137B">
      <w:pPr>
        <w:pStyle w:val="ConsPlusTitle"/>
        <w:jc w:val="both"/>
      </w:pPr>
    </w:p>
    <w:p w:rsidR="009F137B" w:rsidRDefault="009F137B">
      <w:pPr>
        <w:pStyle w:val="ConsPlusTitle"/>
        <w:jc w:val="center"/>
      </w:pPr>
      <w:r>
        <w:t>ПРИКАЗ</w:t>
      </w:r>
    </w:p>
    <w:p w:rsidR="009F137B" w:rsidRDefault="009F137B">
      <w:pPr>
        <w:pStyle w:val="ConsPlusTitle"/>
        <w:jc w:val="center"/>
      </w:pPr>
      <w:r>
        <w:t>от 25 февраля 2019 г. N 12-103</w:t>
      </w:r>
    </w:p>
    <w:p w:rsidR="009F137B" w:rsidRDefault="009F137B">
      <w:pPr>
        <w:pStyle w:val="ConsPlusTitle"/>
        <w:jc w:val="both"/>
      </w:pPr>
    </w:p>
    <w:p w:rsidR="009F137B" w:rsidRDefault="009F137B">
      <w:pPr>
        <w:pStyle w:val="ConsPlusTitle"/>
        <w:jc w:val="center"/>
      </w:pPr>
      <w:r>
        <w:t>ОБ ОРГАНИЗАЦИИ СИСТЕМЫ ВНУТРЕННЕГО ОБЕСПЕЧЕНИЯ СООТВЕТСТВИЯ</w:t>
      </w:r>
    </w:p>
    <w:p w:rsidR="009F137B" w:rsidRDefault="009F137B">
      <w:pPr>
        <w:pStyle w:val="ConsPlusTitle"/>
        <w:jc w:val="center"/>
      </w:pPr>
      <w:r>
        <w:t>ТРЕБОВАНИЯМ АНТИМОНОПОЛЬНОГО ЗАКОНОДАТЕЛЬСТВА В МИНИСТЕРСТВЕ</w:t>
      </w:r>
    </w:p>
    <w:p w:rsidR="009F137B" w:rsidRDefault="009F137B">
      <w:pPr>
        <w:pStyle w:val="ConsPlusTitle"/>
        <w:jc w:val="center"/>
      </w:pPr>
      <w:r>
        <w:t>ТРУДА И СОЦИАЛЬНОГО РАЗВИТИЯ РЕСПУБЛИКИ ДАГЕСТАН</w:t>
      </w:r>
    </w:p>
    <w:p w:rsidR="009F137B" w:rsidRDefault="009F137B">
      <w:pPr>
        <w:pStyle w:val="ConsPlusTitle"/>
        <w:jc w:val="center"/>
      </w:pPr>
      <w:r>
        <w:t>(АНТИМОНОПОЛЬНОМ КОМПЛАЕНСЕ)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ind w:firstLine="540"/>
        <w:jc w:val="both"/>
      </w:pPr>
      <w:r>
        <w:t xml:space="preserve">Во исполнение Национального </w:t>
      </w:r>
      <w:hyperlink r:id="rId5">
        <w:r>
          <w:rPr>
            <w:color w:val="0000FF"/>
          </w:rPr>
          <w:t>плана</w:t>
        </w:r>
      </w:hyperlink>
      <w:r>
        <w:t xml:space="preserve"> развития конкуренции в Российской Федерации на 2018-2020 годы, утвержденного Указом Президента Российской Федерации от 21 декабря 2017 года N 618 "Об основных направлениях государственной политики по развитию конкуренции", и в соответствии с Методическими </w:t>
      </w:r>
      <w:hyperlink r:id="rId6">
        <w:r>
          <w:rPr>
            <w:color w:val="0000FF"/>
          </w:rPr>
          <w:t>рекомендациями</w:t>
        </w:r>
      </w:hyperlink>
      <w: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 октября 2018 года N 2258-р, приказываю: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об организации системы внутреннего обеспечения соответствия требованиям антимонопольного законодательства в Министерстве труда и социального развития Республики Дагестан.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2. Определить отдел правового регулирования Министерства труда и социального развития Республики Дагестан 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Министерстве труда и социального развития Республики Дагестан (далее соответственно - уполномоченное подразделение, Министерство).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 Руководителям структурных подразделений Министерства: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 xml:space="preserve">3.1. Организовать работу в возглавляемых подразделениях в соответствии с </w:t>
      </w:r>
      <w:hyperlink w:anchor="P37">
        <w:r>
          <w:rPr>
            <w:color w:val="0000FF"/>
          </w:rPr>
          <w:t>Положением</w:t>
        </w:r>
      </w:hyperlink>
      <w:r>
        <w:t xml:space="preserve"> об организации системы внутреннего обеспечения соответствия требованиям антимонопольного законодательства в Министерстве, утвержденным настоящим приказом.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3.2. Обеспечить внесение изменений в должностные регламенты государственных гражданских служащих в части требований о знании и изучении антимонопольного законодательства Российской Федерации.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4. Отделу кадров и обучения персонала обеспечить ознакомление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труда и социального развития Республики Дагестан, с настоящим приказом.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5. Управлению аналитической и сводной работы разместить настоящий приказ на официальном сайте Министерства (</w:t>
      </w:r>
      <w:hyperlink r:id="rId7">
        <w:r>
          <w:rPr>
            <w:color w:val="0000FF"/>
          </w:rPr>
          <w:t>www.dagmintrud.ru</w:t>
        </w:r>
      </w:hyperlink>
      <w:r>
        <w:t>).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6. Контроль за исполнением настоящего приказа оставляю за собой.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7. Настоящий приказ вступает в силу в установленном порядке.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right"/>
      </w:pPr>
      <w:r>
        <w:t>Министр труда и социального развития</w:t>
      </w:r>
    </w:p>
    <w:p w:rsidR="009F137B" w:rsidRDefault="009F137B">
      <w:pPr>
        <w:pStyle w:val="ConsPlusNormal"/>
        <w:jc w:val="right"/>
      </w:pPr>
      <w:r>
        <w:t>Республики Дагестан</w:t>
      </w:r>
    </w:p>
    <w:p w:rsidR="009F137B" w:rsidRDefault="009F137B">
      <w:pPr>
        <w:pStyle w:val="ConsPlusNormal"/>
        <w:jc w:val="right"/>
      </w:pPr>
      <w:r>
        <w:lastRenderedPageBreak/>
        <w:t>И.МУГУТДИНОВА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right"/>
        <w:outlineLvl w:val="0"/>
      </w:pPr>
      <w:r>
        <w:t>Приложение</w:t>
      </w:r>
    </w:p>
    <w:p w:rsidR="009F137B" w:rsidRDefault="009F137B">
      <w:pPr>
        <w:pStyle w:val="ConsPlusNormal"/>
        <w:jc w:val="right"/>
      </w:pPr>
      <w:r>
        <w:t>к приказу Министерства труда</w:t>
      </w:r>
    </w:p>
    <w:p w:rsidR="009F137B" w:rsidRDefault="009F137B">
      <w:pPr>
        <w:pStyle w:val="ConsPlusNormal"/>
        <w:jc w:val="right"/>
      </w:pPr>
      <w:r>
        <w:t>и социального развития</w:t>
      </w:r>
    </w:p>
    <w:p w:rsidR="009F137B" w:rsidRDefault="009F137B">
      <w:pPr>
        <w:pStyle w:val="ConsPlusNormal"/>
        <w:jc w:val="right"/>
      </w:pPr>
      <w:r>
        <w:t>Республики Дагестан</w:t>
      </w:r>
    </w:p>
    <w:p w:rsidR="009F137B" w:rsidRDefault="009F137B">
      <w:pPr>
        <w:pStyle w:val="ConsPlusNormal"/>
        <w:jc w:val="right"/>
      </w:pPr>
      <w:r>
        <w:t>от 25 февраля 2019 г. N 12-103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Title"/>
        <w:jc w:val="center"/>
      </w:pPr>
      <w:bookmarkStart w:id="0" w:name="P37"/>
      <w:bookmarkEnd w:id="0"/>
      <w:r>
        <w:t>ПОЛОЖЕНИЕ</w:t>
      </w:r>
    </w:p>
    <w:p w:rsidR="009F137B" w:rsidRDefault="009F137B">
      <w:pPr>
        <w:pStyle w:val="ConsPlusTitle"/>
        <w:jc w:val="center"/>
      </w:pPr>
      <w:r>
        <w:t>ОБ ОРГАНИЗАЦИИ СИСТЕМЫ ВНУТРЕННЕГО ОБЕСПЕЧЕНИЯ СООТВЕТСТВИЯ</w:t>
      </w:r>
    </w:p>
    <w:p w:rsidR="009F137B" w:rsidRDefault="009F137B">
      <w:pPr>
        <w:pStyle w:val="ConsPlusTitle"/>
        <w:jc w:val="center"/>
      </w:pPr>
      <w:r>
        <w:t>ТРЕБОВАНИЯМ АНТИМОНОПОЛЬНОГО ЗАКОНОДАТЕЛЬСТВА В МИНИСТЕРСТВЕ</w:t>
      </w:r>
    </w:p>
    <w:p w:rsidR="009F137B" w:rsidRDefault="009F137B">
      <w:pPr>
        <w:pStyle w:val="ConsPlusTitle"/>
        <w:jc w:val="center"/>
      </w:pPr>
      <w:r>
        <w:t>ТРУДА И СОЦИАЛЬНОГО РАЗВИТИЯ РЕСПУБЛИКИ ДАГЕСТАН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Title"/>
        <w:jc w:val="center"/>
        <w:outlineLvl w:val="1"/>
      </w:pPr>
      <w:r>
        <w:t>1. Общие положения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ind w:firstLine="540"/>
        <w:jc w:val="both"/>
      </w:pPr>
      <w:r>
        <w:t xml:space="preserve">1.1. Настоящее Положение разработано во исполнение </w:t>
      </w:r>
      <w:hyperlink r:id="rId8">
        <w:r>
          <w:rPr>
            <w:color w:val="0000FF"/>
          </w:rPr>
          <w:t>Указа</w:t>
        </w:r>
      </w:hyperlink>
      <w:r>
        <w:t xml:space="preserve"> Президента Российской Федерации от 21 декабря 2017 года N 618 "Об основных направлениях государственной политики по развитию конкуренции" и определяет порядок внутреннего обеспечения соответствия требованиям антимонопольного законодательства в Министерстве труда и социального развития Республики Дагестан (далее - антимонопольный комплаенс).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1.2. 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1.3. Целями антимонопольного комплаенса являются: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обеспечение соответствия деятельности Министерства труда и социального развития Республики Дагестан (далее - Министерство) требованиям антимонопольного законодательства;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профилактика и сокращение количества нарушений требований антимонопольного законодательства в деятельности Министерства;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повышение уровня правовой культуры в Министерстве.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1.4. Задачи антимонопольного комплаенса: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выявление рисков нарушений антимонопольного законодательства;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управление рисками нарушений антимонопольного законодательства;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контроль соответствия деятельности Министерства требованиям антимонопольного законодательства;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оценка эффективности организации в Министерстве антимонопольного комплаенса.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1.5. Принципы антимонопольного комплаенса: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законность;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регулярность оценки рисков нарушения антимонопольного законодательства;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lastRenderedPageBreak/>
        <w:t>информационная открытость действующего в Министерстве антимонопольного комплаенса;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непрерывность анализа и функционирования антимонопольного комплаенса;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совершенствование антимонопольного комплаенса.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Title"/>
        <w:jc w:val="center"/>
        <w:outlineLvl w:val="1"/>
      </w:pPr>
      <w:r>
        <w:t>2. Уполномоченное подразделение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ind w:firstLine="540"/>
        <w:jc w:val="both"/>
      </w:pPr>
      <w:r>
        <w:t>2.1. Основными функциональными обязанностями уполномоченного подразделения являются: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разработка, согласование и внедрение правовых актов Министерства, обеспечивающих развитие и функционирование антимонопольного комплаенса в Министерстве;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координация и методологическое обеспечение мероприятий антимонопольного комплаенса в Министерстве;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контроль за функционированием антимонопольного комплаенса в Министерстве;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выявление рисков нарушения антимонопольного законодательства в деятельности Министерства;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инициирование мероприятий по минимизации рисков нарушения антимонопольного законодательства в Министерстве;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информирование должностных лиц Министерства, в зоне ответственности которых имеются соответствующие антимонопольные риски, и руководителя Министерства о выявленных рисках;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организация взаимодействия с другими структурными подразделениями Министерства по вопросам реализации антимонопольного комплаенса в Министерстве;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взаимодействие с территориальным антимонопольным органом по вопросам организации и функционирования антимонопольного комплаенса в Министерстве.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Title"/>
        <w:jc w:val="center"/>
        <w:outlineLvl w:val="1"/>
      </w:pPr>
      <w:r>
        <w:t>3. Выявление и оценка рисков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ind w:firstLine="540"/>
        <w:jc w:val="both"/>
      </w:pPr>
      <w:r>
        <w:t>3.1. В целях обеспечения соответствия деятельности Министерства 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3.2. В целях выявления рисков нарушения антимонопольного законодательства уполномоченным подразделением совместно с другими структурными подразделениями на регулярной основе проводятся следующие мероприятия: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3.2.1.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3.2.2. Анализ проектов нормативных правовых актов Республики Дагестан, разработанных Министерством, и действующих нормативных правовых актов Республики Дагестан, относящихся к сфере деятельности Министерства и реализация которых связана с соблюдением требований антимонопольного законодательства (далее соответственно - проекты актов Министерства, действующие акты Министерства), на предмет соответствия их антимонопольному законодательству.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3.2.3. Мониторинг и анализ практики применения антимонопольного законодательства.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lastRenderedPageBreak/>
        <w:t>3.2.4. 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в Министерстве антимонопольного комплаенса.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3.2.5. Проведение систематической оценки эффективности разработанных и реализуемых мер контроля.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3.2.6. Проведение постоянного мониторинга для выявления в Министерстве остаточных рисков нарушения антимонопольного законодательства.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3.3. Анализ выявленных в Министерстве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Министерством реализуются следующие мероприятия: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3.3.1. Осуществляется сбор сведений, в том числе в структурных подразделениях Министерства, о наличии выявленных контрольными органами нарушений антимонопольного законодательства.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3.3.2. Составляется перечень выявленных нарушений антимонопольного законодательства.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Министерством на недопущение повторения нарушения. Перечень нарушений антимонопольного законодательства должен содержать классификацию по сферам деятельности Министерства.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3.4. Анализ действующих актов Министерства на предмет соответствия их антимонопольному законодательству проводится не реже одного раза в год. При проведении данного анализа реализуются следующие мероприятия: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3.4.1. Разрабатывается исчерпывающий перечень действующих актов Министерства (далее - Перечень действующих актов) с указанием источника их публикации.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3.4.2. Перечень действующих актов размещается на официальном сайте Министерства в сети "Интернет" в свободном доступе.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3.4.3. На официальном сайте Министерства 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Министерства.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3.4.4. 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3.4.5. Осуществляется сбор и анализ представленных замечаний и предложений.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3.4.6. Проводится совещание с представителями Министерства и бизнес-объединений (иных общественных организаций (объединений)) по обсуждению представленных предложений и замечаний к Перечню действующих актов.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 xml:space="preserve">3.4.7. По итогам проведения указанного совещания составляются протокол совещания, а также таблица о необходимости внесения изменений (признании утратившими силу) в действующие акты Министерства с обоснованием целесообразности (нецелесообразности) </w:t>
      </w:r>
      <w:r>
        <w:lastRenderedPageBreak/>
        <w:t>внесения изменений (признания утратившими силу).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3.5. При проведении анализа проектов актов Министерства на предмет соответствия их антимонопольному законодательству Министерством реализуются следующие мероприятия: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3.5.1. Проекты актов Министерства вместе с пояснительными записками размещаются на официальном сайте Министерства в сети "Интернет" в свободном доступе.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3.5.2. Осуществляется сбор и анализ поступивших предложений и замечаний.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3.5.3. По итогам рассмотрения полученных предложений и замечаний по проекту акта Министерства подготавливается справка о выявлении (отсутствии) в проекте акта Министерства положений, противоречащих антимонопольному законодательству.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3.6. При проведении мониторинга и анализа практики применения антимонопольного законодательства уполномоченным подразделением реализуются следующие мероприятия: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3.6.1. На постоянной основе осуществляется сбор сведений, в том числе в подразделениях Министерства, о правоприменительной практике в Министерстве.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3.6.2. По итогам сбора указанной информации подготавливается аналитическая справка об изменениях и основных аспектах правоприменительной практики, а также о проблемах правоприменения.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3.6.3. Один раз в полугодие проводятся рабочие совещания с представителями Министерства с приглашением представителей антимонопольного органа по обсуждению результатов правоприменительной практики и по вопросам проблем правоприменения.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3.6.4. По итогам проведения указанного совещания составляется протокол, а также подготавливаются предложения по решению проблем правоприменения.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3.7. При выявлении отдельных рисков Министерства проводится их оценка в соответствии с таблицей 1: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right"/>
        <w:outlineLvl w:val="2"/>
      </w:pPr>
      <w:bookmarkStart w:id="1" w:name="P107"/>
      <w:bookmarkEnd w:id="1"/>
      <w:r>
        <w:t>Таблица 1</w:t>
      </w:r>
    </w:p>
    <w:p w:rsidR="009F137B" w:rsidRDefault="009F13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4535"/>
      </w:tblGrid>
      <w:tr w:rsidR="009F137B">
        <w:tc>
          <w:tcPr>
            <w:tcW w:w="2551" w:type="dxa"/>
          </w:tcPr>
          <w:p w:rsidR="009F137B" w:rsidRDefault="009F137B">
            <w:pPr>
              <w:pStyle w:val="ConsPlusNormal"/>
              <w:jc w:val="center"/>
            </w:pPr>
            <w:r>
              <w:t>Уровень риска</w:t>
            </w:r>
          </w:p>
        </w:tc>
        <w:tc>
          <w:tcPr>
            <w:tcW w:w="4535" w:type="dxa"/>
          </w:tcPr>
          <w:p w:rsidR="009F137B" w:rsidRDefault="009F137B">
            <w:pPr>
              <w:pStyle w:val="ConsPlusNormal"/>
              <w:jc w:val="center"/>
            </w:pPr>
            <w:r>
              <w:t>Описание риска</w:t>
            </w:r>
          </w:p>
        </w:tc>
      </w:tr>
      <w:tr w:rsidR="009F137B">
        <w:tc>
          <w:tcPr>
            <w:tcW w:w="2551" w:type="dxa"/>
          </w:tcPr>
          <w:p w:rsidR="009F137B" w:rsidRDefault="009F137B">
            <w:pPr>
              <w:pStyle w:val="ConsPlusNormal"/>
            </w:pPr>
            <w:r>
              <w:t>Низкий</w:t>
            </w:r>
          </w:p>
        </w:tc>
        <w:tc>
          <w:tcPr>
            <w:tcW w:w="4535" w:type="dxa"/>
          </w:tcPr>
          <w:p w:rsidR="009F137B" w:rsidRDefault="009F137B">
            <w:pPr>
              <w:pStyle w:val="ConsPlusNormal"/>
            </w:pPr>
            <w:r>
              <w:t>отрицательное влияние на отношение институтов гражданского общества к деятельности Министерства по развитию конкуренции, вероятность выдачи предупреждений, возбуждения дел о нарушении антимонопольного законодательства, наложения штрафов отсутствуют</w:t>
            </w:r>
          </w:p>
        </w:tc>
      </w:tr>
      <w:tr w:rsidR="009F137B">
        <w:tc>
          <w:tcPr>
            <w:tcW w:w="2551" w:type="dxa"/>
          </w:tcPr>
          <w:p w:rsidR="009F137B" w:rsidRDefault="009F137B">
            <w:pPr>
              <w:pStyle w:val="ConsPlusNormal"/>
            </w:pPr>
            <w:r>
              <w:t>Незначительный</w:t>
            </w:r>
          </w:p>
        </w:tc>
        <w:tc>
          <w:tcPr>
            <w:tcW w:w="4535" w:type="dxa"/>
          </w:tcPr>
          <w:p w:rsidR="009F137B" w:rsidRDefault="009F137B">
            <w:pPr>
              <w:pStyle w:val="ConsPlusNormal"/>
            </w:pPr>
            <w:r>
              <w:t>возможность выдачи предупреждения</w:t>
            </w:r>
          </w:p>
        </w:tc>
      </w:tr>
      <w:tr w:rsidR="009F137B">
        <w:tc>
          <w:tcPr>
            <w:tcW w:w="2551" w:type="dxa"/>
          </w:tcPr>
          <w:p w:rsidR="009F137B" w:rsidRDefault="009F137B">
            <w:pPr>
              <w:pStyle w:val="ConsPlusNormal"/>
            </w:pPr>
            <w:r>
              <w:t>Существенный</w:t>
            </w:r>
          </w:p>
        </w:tc>
        <w:tc>
          <w:tcPr>
            <w:tcW w:w="4535" w:type="dxa"/>
          </w:tcPr>
          <w:p w:rsidR="009F137B" w:rsidRDefault="009F137B">
            <w:pPr>
              <w:pStyle w:val="ConsPlusNormal"/>
            </w:pPr>
            <w: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9F137B">
        <w:tc>
          <w:tcPr>
            <w:tcW w:w="2551" w:type="dxa"/>
          </w:tcPr>
          <w:p w:rsidR="009F137B" w:rsidRDefault="009F137B">
            <w:pPr>
              <w:pStyle w:val="ConsPlusNormal"/>
            </w:pPr>
            <w:r>
              <w:t>Высокий</w:t>
            </w:r>
          </w:p>
        </w:tc>
        <w:tc>
          <w:tcPr>
            <w:tcW w:w="4535" w:type="dxa"/>
          </w:tcPr>
          <w:p w:rsidR="009F137B" w:rsidRDefault="009F137B">
            <w:pPr>
              <w:pStyle w:val="ConsPlusNormal"/>
            </w:pPr>
            <w:r>
              <w:t xml:space="preserve">возможность выдачи предупреждения и (или) возбуждения дела о нарушении антимонопольного законодательства и (или) </w:t>
            </w:r>
            <w:r>
              <w:lastRenderedPageBreak/>
              <w:t>привлечение к административной ответственности (штраф, дисквалификация)</w:t>
            </w:r>
          </w:p>
        </w:tc>
      </w:tr>
    </w:tbl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ind w:firstLine="540"/>
        <w:jc w:val="both"/>
      </w:pPr>
      <w:r>
        <w:t xml:space="preserve">3.8. По результатам проведения оценки рисков, выявленных по результатам проведенных мероприятий антимонопольного комплаенса, уполномоченным подразделением совместно с другими структурными подразделениями Министерства составляются карты рисков по </w:t>
      </w:r>
      <w:hyperlink w:anchor="P189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3.9. В карты рисков включаются: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выявленные риски (их описание), структурированные по уровню и направлениям деятельности;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описание причин возникновения рисков;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описание условий возникновения рисков;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мероприятия по минимизации и устранению рисков;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наличие (отсутствие) остаточных рисков;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вероятность повторного возникновения рисков.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3.10. Карты рисков составляются не реже одного раза в год, утверждаются руководителем Министерства или уполномоченным им лицом, и размещаются на официальном сайте Министерства в сети "Интернет".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3.11. Информация о проведенных мероприятиях по выявлению и оценке рисков нарушения антимонопольного законодательства включается в доклад об антимонопольном комплаенсе.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Title"/>
        <w:jc w:val="center"/>
        <w:outlineLvl w:val="1"/>
      </w:pPr>
      <w:r>
        <w:t>4. Проведение мероприятий по снижению рисков</w:t>
      </w:r>
    </w:p>
    <w:p w:rsidR="009F137B" w:rsidRDefault="009F137B">
      <w:pPr>
        <w:pStyle w:val="ConsPlusTitle"/>
        <w:jc w:val="center"/>
      </w:pPr>
      <w:r>
        <w:t>нарушения антимонопольного законодательства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ind w:firstLine="540"/>
        <w:jc w:val="both"/>
      </w:pPr>
      <w:r>
        <w:t xml:space="preserve">4.1. В целях снижения рисков нарушения антимонопольного законодательства уполномоченным подразделением на основе карты рисков нарушения антимонопольного законодательства разрабатывается </w:t>
      </w:r>
      <w:hyperlink w:anchor="P220">
        <w:r>
          <w:rPr>
            <w:color w:val="0000FF"/>
          </w:rPr>
          <w:t>план</w:t>
        </w:r>
      </w:hyperlink>
      <w:r>
        <w:t xml:space="preserve"> мероприятий ("дорожная карта") по форме согласно приложению N 2 к настоящему Положению.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4.2. План мероприятий ("дорожная карта") по снижению рисков нарушения антимонопольного законодательства разрабатывается ежегодно.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4.3. План мероприятий ("дорожная карта") по снижению рисков нарушения антимонопольного законодательства утверждается руководителем Министерства или уполномоченным им лицом и размещается на официальном сайте Министерства в сети "Интернет".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4.4. Уполномоченное подразделение на постоянной основе осуществляет мониторинг исполнения планов мероприятий ("дорожных карт") по снижению рисков нарушения антимонопольного законодательства.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4.5. Информация об утверждении и исполнении планов мероприятий ("дорожных карт") по снижению рисков нарушения антимонопольного законодательства включается в доклад об антимонопольном комплаенсе.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Title"/>
        <w:jc w:val="center"/>
        <w:outlineLvl w:val="1"/>
      </w:pPr>
      <w:r>
        <w:t>5. Организация обучения государственных гражданских служащих</w:t>
      </w:r>
    </w:p>
    <w:p w:rsidR="009F137B" w:rsidRDefault="009F137B">
      <w:pPr>
        <w:pStyle w:val="ConsPlusTitle"/>
        <w:jc w:val="center"/>
      </w:pPr>
      <w:r>
        <w:t>Республики Дагестан, замещающих должности государственной</w:t>
      </w:r>
    </w:p>
    <w:p w:rsidR="009F137B" w:rsidRDefault="009F137B">
      <w:pPr>
        <w:pStyle w:val="ConsPlusTitle"/>
        <w:jc w:val="center"/>
      </w:pPr>
      <w:r>
        <w:lastRenderedPageBreak/>
        <w:t>гражданской службы Республики Дагестан в Министерстве,</w:t>
      </w:r>
    </w:p>
    <w:p w:rsidR="009F137B" w:rsidRDefault="009F137B">
      <w:pPr>
        <w:pStyle w:val="ConsPlusTitle"/>
        <w:jc w:val="center"/>
      </w:pPr>
      <w:r>
        <w:t>требованиям антимонопольного законодательства</w:t>
      </w:r>
    </w:p>
    <w:p w:rsidR="009F137B" w:rsidRDefault="009F137B">
      <w:pPr>
        <w:pStyle w:val="ConsPlusTitle"/>
        <w:jc w:val="center"/>
      </w:pPr>
      <w:r>
        <w:t>и антимонопольного комплаенса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ind w:firstLine="540"/>
        <w:jc w:val="both"/>
      </w:pPr>
      <w:r>
        <w:t>5.1. Министерство организует систематическое обучение своих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(далее - государственные гражданские служащие Министерства), требованиям антимонопольного законодательства и антимонопольного комплаенса в следующих формах: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вводный (первичный) инструктаж;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целевой (внеплановый) инструктаж;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повышение квалификации;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плановая аттестация.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5.2. 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государственных гражданских служащих Министерства на государственную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5.3. 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подразделением признаков нарушения (установления факта) антимонопольного законодательства в деятельности Министерства.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5.4. Организация повышения квалификации государственных гражданских служащих в части изучения требований антимонопольного законодательства осуществляется в соответствии с законодательством.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5.5. Организация проведения аттестации государственных гражданских служащих Министерства, в том числе по вопросам антимонопольного комплаенса, осуществляется в соответствии с законодательством.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5.6. Информация о проведении ознакомления государственных гражданских служащих Министерства с антимонопольным комплаенсом, а также о проведении обучающих мероприятий включается в доклад об антимонопольном комплаенсе.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Title"/>
        <w:jc w:val="center"/>
        <w:outlineLvl w:val="1"/>
      </w:pPr>
      <w:r>
        <w:t>6. Оценка эффективности антимонопольного комплаенса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ind w:firstLine="540"/>
        <w:jc w:val="both"/>
      </w:pPr>
      <w:r>
        <w:t>6.1. В целях оценки организации и функционирования в Министерстве антимонопольного комплаенса приказом Министерства утверждаются ключевые показатели эффективности реализации мероприятий антимонопольного комплаенса как для отдельно уполномоченного подразделения, так и для Министерства в целом.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6.2. Ключевые показатели для уполномоченного подразделения устанавливаются в целях оценки эффективности мероприятий, осуществляемых уполномоченным органом.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 xml:space="preserve">6.3. Ключевые показатели для Министерства в целом устанавливаются в целях снижения рисков нарушения антимонопольного законодательства в результате деятельности Министерства по результатам выявления и оценки рисков, с учетом уровней рисков, приведенных в </w:t>
      </w:r>
      <w:hyperlink w:anchor="P107">
        <w:r>
          <w:rPr>
            <w:color w:val="0000FF"/>
          </w:rPr>
          <w:t>таблице 1 раздела 3</w:t>
        </w:r>
      </w:hyperlink>
      <w:r>
        <w:t xml:space="preserve"> настоящего Положения.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lastRenderedPageBreak/>
        <w:t>6.4. Уполномоченное подразделение ежегодно проводит оценку достижения ключевых показателей эффективности реализации мероприятий антимонопольного комплаенса.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6.5. Уполномоченное подразделение при необходимости ежегодно проводит актуализацию ключевых показателей эффективности реализации мероприятий антимонопольного комплаенса.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6.6. Информация о достижении ключевых показателей эффективности реализации мероприятий антимонопольного комплаенса включается в доклад об антимонопольном комплаенсе.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Title"/>
        <w:jc w:val="center"/>
        <w:outlineLvl w:val="1"/>
      </w:pPr>
      <w:r>
        <w:t>7. Доклад об антимонопольном комплаенсе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ind w:firstLine="540"/>
        <w:jc w:val="both"/>
      </w:pPr>
      <w:r>
        <w:t>7.1. Доклад об антимонопольном комплаенсе должен содержать: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информацию о проведении выявления и оценки рисков нарушения антимонопольного законодательства;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информацию об утверждении и исполнении планов мероприятий ("дорожных карт") по снижению рисков нарушения антимонопольного законодательства;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информацию о проведении ознакомления государственных гражданских служащих (работников) с антимонопольным комплаенсом, а также о проведении обучающих мероприятий;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информацию о достижении ключевых показателей эффективности реализации мероприятий антимонопольного комплаенса.</w:t>
      </w:r>
    </w:p>
    <w:p w:rsidR="009F137B" w:rsidRDefault="009F137B">
      <w:pPr>
        <w:pStyle w:val="ConsPlusNormal"/>
        <w:spacing w:before="220"/>
        <w:ind w:firstLine="540"/>
        <w:jc w:val="both"/>
      </w:pPr>
      <w:r>
        <w:t>7.2. Доклад об антимонопольном комплаенсе Министерства не реже 1 раза в год направляется уполномоченным подразделением в антимонопольный орган для включения информации о мерах по организации и функционированию антимонопольного комплаенса.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right"/>
        <w:outlineLvl w:val="1"/>
      </w:pPr>
      <w:r>
        <w:t>Приложение N 1</w:t>
      </w:r>
    </w:p>
    <w:p w:rsidR="009F137B" w:rsidRDefault="009F137B">
      <w:pPr>
        <w:pStyle w:val="ConsPlusNormal"/>
        <w:jc w:val="right"/>
      </w:pPr>
      <w:r>
        <w:t>к Положению об организации системы</w:t>
      </w:r>
    </w:p>
    <w:p w:rsidR="009F137B" w:rsidRDefault="009F137B">
      <w:pPr>
        <w:pStyle w:val="ConsPlusNormal"/>
        <w:jc w:val="right"/>
      </w:pPr>
      <w:r>
        <w:t>внутреннего обеспечения соответствия</w:t>
      </w:r>
    </w:p>
    <w:p w:rsidR="009F137B" w:rsidRDefault="009F137B">
      <w:pPr>
        <w:pStyle w:val="ConsPlusNormal"/>
        <w:jc w:val="right"/>
      </w:pPr>
      <w:r>
        <w:t>требованиям антимонопольного законодательства</w:t>
      </w:r>
    </w:p>
    <w:p w:rsidR="009F137B" w:rsidRDefault="009F137B">
      <w:pPr>
        <w:pStyle w:val="ConsPlusNormal"/>
        <w:jc w:val="right"/>
      </w:pPr>
      <w:r>
        <w:t>в Министерстве труда и социального развития</w:t>
      </w:r>
    </w:p>
    <w:p w:rsidR="009F137B" w:rsidRDefault="009F137B">
      <w:pPr>
        <w:pStyle w:val="ConsPlusNormal"/>
        <w:jc w:val="right"/>
      </w:pPr>
      <w:r>
        <w:t>Республики Дагестан, утвержденному</w:t>
      </w:r>
    </w:p>
    <w:p w:rsidR="009F137B" w:rsidRDefault="009F137B">
      <w:pPr>
        <w:pStyle w:val="ConsPlusNormal"/>
        <w:jc w:val="right"/>
      </w:pPr>
      <w:r>
        <w:t>приказом Министерства труда и социального</w:t>
      </w:r>
    </w:p>
    <w:p w:rsidR="009F137B" w:rsidRDefault="009F137B">
      <w:pPr>
        <w:pStyle w:val="ConsPlusNormal"/>
        <w:jc w:val="right"/>
      </w:pPr>
      <w:r>
        <w:t>развития Республики Дагестан</w:t>
      </w:r>
    </w:p>
    <w:p w:rsidR="009F137B" w:rsidRDefault="009F137B">
      <w:pPr>
        <w:pStyle w:val="ConsPlusNormal"/>
        <w:jc w:val="right"/>
      </w:pPr>
      <w:r>
        <w:t>от 25 февраля 2019 г. N 12-103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center"/>
      </w:pPr>
      <w:bookmarkStart w:id="2" w:name="P189"/>
      <w:bookmarkEnd w:id="2"/>
      <w:r>
        <w:t>КАРТА РИСКОВ</w:t>
      </w:r>
    </w:p>
    <w:p w:rsidR="009F137B" w:rsidRDefault="009F13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7"/>
        <w:gridCol w:w="1247"/>
        <w:gridCol w:w="1417"/>
        <w:gridCol w:w="1701"/>
        <w:gridCol w:w="1417"/>
        <w:gridCol w:w="1417"/>
      </w:tblGrid>
      <w:tr w:rsidR="009F137B">
        <w:tc>
          <w:tcPr>
            <w:tcW w:w="510" w:type="dxa"/>
          </w:tcPr>
          <w:p w:rsidR="009F137B" w:rsidRDefault="009F137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47" w:type="dxa"/>
          </w:tcPr>
          <w:p w:rsidR="009F137B" w:rsidRDefault="009F137B">
            <w:pPr>
              <w:pStyle w:val="ConsPlusNormal"/>
              <w:jc w:val="center"/>
            </w:pPr>
            <w:r>
              <w:t>Выявленные риски</w:t>
            </w:r>
          </w:p>
        </w:tc>
        <w:tc>
          <w:tcPr>
            <w:tcW w:w="1247" w:type="dxa"/>
          </w:tcPr>
          <w:p w:rsidR="009F137B" w:rsidRDefault="009F137B">
            <w:pPr>
              <w:pStyle w:val="ConsPlusNormal"/>
              <w:jc w:val="center"/>
            </w:pPr>
            <w:r>
              <w:t>Описание рисков</w:t>
            </w:r>
          </w:p>
        </w:tc>
        <w:tc>
          <w:tcPr>
            <w:tcW w:w="1417" w:type="dxa"/>
          </w:tcPr>
          <w:p w:rsidR="009F137B" w:rsidRDefault="009F137B">
            <w:pPr>
              <w:pStyle w:val="ConsPlusNormal"/>
              <w:jc w:val="center"/>
            </w:pPr>
            <w:r>
              <w:t>Причины возникновения рисков</w:t>
            </w:r>
          </w:p>
        </w:tc>
        <w:tc>
          <w:tcPr>
            <w:tcW w:w="1701" w:type="dxa"/>
          </w:tcPr>
          <w:p w:rsidR="009F137B" w:rsidRDefault="009F137B">
            <w:pPr>
              <w:pStyle w:val="ConsPlusNormal"/>
              <w:jc w:val="center"/>
            </w:pPr>
            <w:r>
              <w:t>Мероприятия по минимизации и устранению рисков</w:t>
            </w:r>
          </w:p>
        </w:tc>
        <w:tc>
          <w:tcPr>
            <w:tcW w:w="1417" w:type="dxa"/>
          </w:tcPr>
          <w:p w:rsidR="009F137B" w:rsidRDefault="009F137B">
            <w:pPr>
              <w:pStyle w:val="ConsPlusNormal"/>
              <w:jc w:val="center"/>
            </w:pPr>
            <w:r>
              <w:t>Наличие (отсутствие) остаточных рисков</w:t>
            </w:r>
          </w:p>
        </w:tc>
        <w:tc>
          <w:tcPr>
            <w:tcW w:w="1417" w:type="dxa"/>
          </w:tcPr>
          <w:p w:rsidR="009F137B" w:rsidRDefault="009F137B">
            <w:pPr>
              <w:pStyle w:val="ConsPlusNormal"/>
              <w:jc w:val="center"/>
            </w:pPr>
            <w:r>
              <w:t>Вероятность повторного возникновения рисков</w:t>
            </w:r>
          </w:p>
        </w:tc>
      </w:tr>
      <w:tr w:rsidR="009F137B">
        <w:tc>
          <w:tcPr>
            <w:tcW w:w="510" w:type="dxa"/>
          </w:tcPr>
          <w:p w:rsidR="009F137B" w:rsidRDefault="009F137B">
            <w:pPr>
              <w:pStyle w:val="ConsPlusNormal"/>
            </w:pPr>
          </w:p>
        </w:tc>
        <w:tc>
          <w:tcPr>
            <w:tcW w:w="1247" w:type="dxa"/>
          </w:tcPr>
          <w:p w:rsidR="009F137B" w:rsidRDefault="009F137B">
            <w:pPr>
              <w:pStyle w:val="ConsPlusNormal"/>
            </w:pPr>
          </w:p>
        </w:tc>
        <w:tc>
          <w:tcPr>
            <w:tcW w:w="1247" w:type="dxa"/>
          </w:tcPr>
          <w:p w:rsidR="009F137B" w:rsidRDefault="009F137B">
            <w:pPr>
              <w:pStyle w:val="ConsPlusNormal"/>
            </w:pPr>
          </w:p>
        </w:tc>
        <w:tc>
          <w:tcPr>
            <w:tcW w:w="1417" w:type="dxa"/>
          </w:tcPr>
          <w:p w:rsidR="009F137B" w:rsidRDefault="009F137B">
            <w:pPr>
              <w:pStyle w:val="ConsPlusNormal"/>
            </w:pPr>
          </w:p>
        </w:tc>
        <w:tc>
          <w:tcPr>
            <w:tcW w:w="1701" w:type="dxa"/>
          </w:tcPr>
          <w:p w:rsidR="009F137B" w:rsidRDefault="009F137B">
            <w:pPr>
              <w:pStyle w:val="ConsPlusNormal"/>
            </w:pPr>
          </w:p>
        </w:tc>
        <w:tc>
          <w:tcPr>
            <w:tcW w:w="1417" w:type="dxa"/>
          </w:tcPr>
          <w:p w:rsidR="009F137B" w:rsidRDefault="009F137B">
            <w:pPr>
              <w:pStyle w:val="ConsPlusNormal"/>
            </w:pPr>
          </w:p>
        </w:tc>
        <w:tc>
          <w:tcPr>
            <w:tcW w:w="1417" w:type="dxa"/>
          </w:tcPr>
          <w:p w:rsidR="009F137B" w:rsidRDefault="009F137B">
            <w:pPr>
              <w:pStyle w:val="ConsPlusNormal"/>
            </w:pPr>
          </w:p>
        </w:tc>
      </w:tr>
    </w:tbl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right"/>
        <w:outlineLvl w:val="1"/>
      </w:pPr>
      <w:r>
        <w:t>Приложение N 2</w:t>
      </w:r>
    </w:p>
    <w:p w:rsidR="009F137B" w:rsidRDefault="009F137B">
      <w:pPr>
        <w:pStyle w:val="ConsPlusNormal"/>
        <w:jc w:val="right"/>
      </w:pPr>
      <w:r>
        <w:t>к Положению об организации системы</w:t>
      </w:r>
    </w:p>
    <w:p w:rsidR="009F137B" w:rsidRDefault="009F137B">
      <w:pPr>
        <w:pStyle w:val="ConsPlusNormal"/>
        <w:jc w:val="right"/>
      </w:pPr>
      <w:r>
        <w:t>внутреннего обеспечения соответствия</w:t>
      </w:r>
    </w:p>
    <w:p w:rsidR="009F137B" w:rsidRDefault="009F137B">
      <w:pPr>
        <w:pStyle w:val="ConsPlusNormal"/>
        <w:jc w:val="right"/>
      </w:pPr>
      <w:r>
        <w:t>требованиям антимонопольного законодательства</w:t>
      </w:r>
    </w:p>
    <w:p w:rsidR="009F137B" w:rsidRDefault="009F137B">
      <w:pPr>
        <w:pStyle w:val="ConsPlusNormal"/>
        <w:jc w:val="right"/>
      </w:pPr>
      <w:r>
        <w:t>в Министерстве труда и социального развития</w:t>
      </w:r>
    </w:p>
    <w:p w:rsidR="009F137B" w:rsidRDefault="009F137B">
      <w:pPr>
        <w:pStyle w:val="ConsPlusNormal"/>
        <w:jc w:val="right"/>
      </w:pPr>
      <w:r>
        <w:t>Республики Дагестан, утвержденному</w:t>
      </w:r>
    </w:p>
    <w:p w:rsidR="009F137B" w:rsidRDefault="009F137B">
      <w:pPr>
        <w:pStyle w:val="ConsPlusNormal"/>
        <w:jc w:val="right"/>
      </w:pPr>
      <w:r>
        <w:t>приказом Министерства труда и социального</w:t>
      </w:r>
    </w:p>
    <w:p w:rsidR="009F137B" w:rsidRDefault="009F137B">
      <w:pPr>
        <w:pStyle w:val="ConsPlusNormal"/>
        <w:jc w:val="right"/>
      </w:pPr>
      <w:r>
        <w:t>развития Республики Дагестан</w:t>
      </w:r>
    </w:p>
    <w:p w:rsidR="009F137B" w:rsidRDefault="009F137B">
      <w:pPr>
        <w:pStyle w:val="ConsPlusNormal"/>
        <w:jc w:val="right"/>
      </w:pPr>
      <w:r>
        <w:t>от 25 февраля 2019 г. N 12-103</w:t>
      </w: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center"/>
      </w:pPr>
      <w:bookmarkStart w:id="3" w:name="P220"/>
      <w:bookmarkEnd w:id="3"/>
      <w:r>
        <w:t>ПЛАН</w:t>
      </w:r>
    </w:p>
    <w:p w:rsidR="009F137B" w:rsidRDefault="009F137B">
      <w:pPr>
        <w:pStyle w:val="ConsPlusNormal"/>
        <w:jc w:val="center"/>
      </w:pPr>
      <w:r>
        <w:t>МЕРОПРИЯТИЙ ("ДОРОЖНАЯ КАРТА") ПО СНИЖЕНИЮ</w:t>
      </w:r>
    </w:p>
    <w:p w:rsidR="009F137B" w:rsidRDefault="009F137B">
      <w:pPr>
        <w:pStyle w:val="ConsPlusNormal"/>
        <w:jc w:val="center"/>
      </w:pPr>
      <w:r>
        <w:t>РИСКОВ НАРУШЕНИЯ АНТИМОНОПОЛЬНОГО ЗАКОНОДАТЕЛЬСТВА</w:t>
      </w:r>
    </w:p>
    <w:p w:rsidR="009F137B" w:rsidRDefault="009F13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1417"/>
        <w:gridCol w:w="1701"/>
        <w:gridCol w:w="850"/>
        <w:gridCol w:w="1417"/>
      </w:tblGrid>
      <w:tr w:rsidR="009F137B">
        <w:tc>
          <w:tcPr>
            <w:tcW w:w="510" w:type="dxa"/>
          </w:tcPr>
          <w:p w:rsidR="009F137B" w:rsidRDefault="009F137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9F137B" w:rsidRDefault="009F137B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417" w:type="dxa"/>
          </w:tcPr>
          <w:p w:rsidR="009F137B" w:rsidRDefault="009F137B">
            <w:pPr>
              <w:pStyle w:val="ConsPlusNormal"/>
              <w:jc w:val="center"/>
            </w:pPr>
            <w:r>
              <w:t>Описание действий</w:t>
            </w:r>
          </w:p>
        </w:tc>
        <w:tc>
          <w:tcPr>
            <w:tcW w:w="1701" w:type="dxa"/>
          </w:tcPr>
          <w:p w:rsidR="009F137B" w:rsidRDefault="009F137B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850" w:type="dxa"/>
          </w:tcPr>
          <w:p w:rsidR="009F137B" w:rsidRDefault="009F137B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1417" w:type="dxa"/>
          </w:tcPr>
          <w:p w:rsidR="009F137B" w:rsidRDefault="009F137B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9F137B">
        <w:tc>
          <w:tcPr>
            <w:tcW w:w="510" w:type="dxa"/>
          </w:tcPr>
          <w:p w:rsidR="009F137B" w:rsidRDefault="009F137B">
            <w:pPr>
              <w:pStyle w:val="ConsPlusNormal"/>
            </w:pPr>
          </w:p>
        </w:tc>
        <w:tc>
          <w:tcPr>
            <w:tcW w:w="1417" w:type="dxa"/>
          </w:tcPr>
          <w:p w:rsidR="009F137B" w:rsidRDefault="009F137B">
            <w:pPr>
              <w:pStyle w:val="ConsPlusNormal"/>
            </w:pPr>
          </w:p>
        </w:tc>
        <w:tc>
          <w:tcPr>
            <w:tcW w:w="1417" w:type="dxa"/>
          </w:tcPr>
          <w:p w:rsidR="009F137B" w:rsidRDefault="009F137B">
            <w:pPr>
              <w:pStyle w:val="ConsPlusNormal"/>
            </w:pPr>
          </w:p>
        </w:tc>
        <w:tc>
          <w:tcPr>
            <w:tcW w:w="1701" w:type="dxa"/>
          </w:tcPr>
          <w:p w:rsidR="009F137B" w:rsidRDefault="009F137B">
            <w:pPr>
              <w:pStyle w:val="ConsPlusNormal"/>
            </w:pPr>
          </w:p>
        </w:tc>
        <w:tc>
          <w:tcPr>
            <w:tcW w:w="850" w:type="dxa"/>
          </w:tcPr>
          <w:p w:rsidR="009F137B" w:rsidRDefault="009F137B">
            <w:pPr>
              <w:pStyle w:val="ConsPlusNormal"/>
            </w:pPr>
          </w:p>
        </w:tc>
        <w:tc>
          <w:tcPr>
            <w:tcW w:w="1417" w:type="dxa"/>
          </w:tcPr>
          <w:p w:rsidR="009F137B" w:rsidRDefault="009F137B">
            <w:pPr>
              <w:pStyle w:val="ConsPlusNormal"/>
            </w:pPr>
          </w:p>
        </w:tc>
      </w:tr>
    </w:tbl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jc w:val="both"/>
      </w:pPr>
    </w:p>
    <w:p w:rsidR="009F137B" w:rsidRDefault="009F13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0B5D" w:rsidRDefault="00380B5D">
      <w:bookmarkStart w:id="4" w:name="_GoBack"/>
      <w:bookmarkEnd w:id="4"/>
    </w:p>
    <w:sectPr w:rsidR="00380B5D" w:rsidSect="000B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7B"/>
    <w:rsid w:val="00380B5D"/>
    <w:rsid w:val="009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89A3-7625-4C19-9ED1-EF12EE2B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3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13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13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57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ww.dagmintru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9384&amp;dst=100008" TargetMode="External"/><Relationship Id="rId5" Type="http://schemas.openxmlformats.org/officeDocument/2006/relationships/hyperlink" Target="https://login.consultant.ru/link/?req=doc&amp;base=LAW&amp;n=285796&amp;dst=10005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 Абдуллаев</dc:creator>
  <cp:keywords/>
  <dc:description/>
  <cp:lastModifiedBy>Султан Абдуллаев</cp:lastModifiedBy>
  <cp:revision>1</cp:revision>
  <dcterms:created xsi:type="dcterms:W3CDTF">2024-12-09T08:52:00Z</dcterms:created>
  <dcterms:modified xsi:type="dcterms:W3CDTF">2024-12-09T08:53:00Z</dcterms:modified>
</cp:coreProperties>
</file>