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E35" w:rsidRDefault="00FA1E35" w:rsidP="00FA1E35">
      <w:pPr>
        <w:ind w:firstLine="0"/>
        <w:jc w:val="right"/>
        <w:rPr>
          <w:rFonts w:ascii="Times New Roman" w:hAnsi="Times New Roman"/>
          <w:i/>
          <w:sz w:val="24"/>
          <w:szCs w:val="24"/>
        </w:rPr>
      </w:pPr>
      <w:r w:rsidRPr="00FA1E35">
        <w:rPr>
          <w:rFonts w:ascii="Times New Roman" w:hAnsi="Times New Roman"/>
          <w:i/>
          <w:sz w:val="24"/>
          <w:szCs w:val="24"/>
        </w:rPr>
        <w:t>Письмо</w:t>
      </w:r>
      <w:r>
        <w:rPr>
          <w:rFonts w:ascii="Times New Roman" w:hAnsi="Times New Roman"/>
          <w:i/>
          <w:sz w:val="24"/>
          <w:szCs w:val="24"/>
        </w:rPr>
        <w:t xml:space="preserve"> Минтруда России</w:t>
      </w:r>
      <w:bookmarkStart w:id="0" w:name="_GoBack"/>
      <w:bookmarkEnd w:id="0"/>
    </w:p>
    <w:p w:rsidR="00FA1E35" w:rsidRPr="00FA1E35" w:rsidRDefault="00FA1E35" w:rsidP="00FA1E35">
      <w:pPr>
        <w:ind w:firstLine="0"/>
        <w:jc w:val="right"/>
        <w:rPr>
          <w:rFonts w:ascii="Times New Roman" w:hAnsi="Times New Roman"/>
          <w:b/>
          <w:i/>
          <w:sz w:val="28"/>
          <w:szCs w:val="28"/>
        </w:rPr>
      </w:pPr>
      <w:r w:rsidRPr="00FA1E35">
        <w:rPr>
          <w:rFonts w:ascii="Times New Roman" w:hAnsi="Times New Roman"/>
          <w:i/>
          <w:sz w:val="24"/>
          <w:szCs w:val="24"/>
        </w:rPr>
        <w:t>от 27 декабря 2019 г. № 18-2/10/В-11200</w:t>
      </w:r>
    </w:p>
    <w:p w:rsidR="00FA1E35" w:rsidRDefault="00FA1E35" w:rsidP="00FA1E35">
      <w:pPr>
        <w:ind w:firstLine="0"/>
        <w:jc w:val="right"/>
        <w:rPr>
          <w:rFonts w:ascii="Times New Roman" w:hAnsi="Times New Roman"/>
          <w:b/>
          <w:sz w:val="28"/>
          <w:szCs w:val="28"/>
        </w:rPr>
      </w:pPr>
    </w:p>
    <w:p w:rsidR="00204BB5" w:rsidRPr="00E00F6B" w:rsidRDefault="00D33B87" w:rsidP="00D557E0">
      <w:pPr>
        <w:ind w:firstLine="0"/>
        <w:jc w:val="center"/>
        <w:rPr>
          <w:rFonts w:ascii="Times New Roman" w:hAnsi="Times New Roman"/>
          <w:b/>
          <w:sz w:val="28"/>
          <w:szCs w:val="28"/>
        </w:rPr>
      </w:pPr>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0C14E5">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0C14E5">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0C14E5">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0C14E5">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0C14E5">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0C14E5">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0C14E5">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w:t>
      </w:r>
      <w:r w:rsidR="00815ABE">
        <w:rPr>
          <w:rFonts w:ascii="Times New Roman" w:hAnsi="Times New Roman"/>
          <w:sz w:val="28"/>
          <w:szCs w:val="28"/>
        </w:rPr>
        <w:lastRenderedPageBreak/>
        <w:t xml:space="preserve">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0C14E5">
        <w:rPr>
          <w:rFonts w:ascii="Times New Roman" w:hAnsi="Times New Roman"/>
          <w:sz w:val="28"/>
          <w:szCs w:val="28"/>
        </w:rPr>
        <w:t xml:space="preserve"> </w:t>
      </w:r>
      <w:r w:rsidR="004053AA">
        <w:rPr>
          <w:rFonts w:ascii="Times New Roman" w:hAnsi="Times New Roman"/>
          <w:sz w:val="28"/>
          <w:szCs w:val="28"/>
        </w:rPr>
        <w:t>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0C14E5">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0C14E5">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0C14E5">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sidR="000C14E5">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0C14E5">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w:t>
      </w:r>
      <w:r w:rsidRPr="009C2771">
        <w:rPr>
          <w:rFonts w:ascii="Times New Roman" w:hAnsi="Times New Roman"/>
          <w:sz w:val="28"/>
          <w:szCs w:val="28"/>
        </w:rPr>
        <w:lastRenderedPageBreak/>
        <w:t xml:space="preserve">государственные должности, и иных лиц их доходам". В случае, если в течение 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9"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0C14E5">
        <w:t xml:space="preserve"> </w:t>
      </w:r>
      <w:r w:rsidRPr="002E3630">
        <w:t xml:space="preserve">в Центральном банке Российской Федерации, включенные в </w:t>
      </w:r>
      <w:hyperlink r:id="rId10"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0C14E5">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lastRenderedPageBreak/>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7A516C">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lastRenderedPageBreak/>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7A516C">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7A516C">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7A516C">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7A516C">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7A516C">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7A516C">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7A516C">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7A516C">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7A516C">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7A516C">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333E8F">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333E8F">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0"/>
        <w:gridCol w:w="6720"/>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 xml:space="preserve">Дочери служащего (работника)31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w:t>
      </w:r>
      <w:r w:rsidR="00C14CB2">
        <w:rPr>
          <w:rFonts w:ascii="Times New Roman" w:hAnsi="Times New Roman"/>
          <w:sz w:val="28"/>
          <w:szCs w:val="28"/>
        </w:rPr>
        <w:lastRenderedPageBreak/>
        <w:t xml:space="preserve">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w:t>
            </w:r>
            <w:r w:rsidRPr="00E00F6B">
              <w:rPr>
                <w:rFonts w:ascii="Times New Roman" w:hAnsi="Times New Roman"/>
                <w:sz w:val="28"/>
                <w:szCs w:val="28"/>
              </w:rPr>
              <w:lastRenderedPageBreak/>
              <w:t>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w:t>
            </w:r>
            <w:r w:rsidRPr="00E00F6B">
              <w:rPr>
                <w:rFonts w:ascii="Times New Roman" w:hAnsi="Times New Roman"/>
                <w:sz w:val="28"/>
                <w:szCs w:val="28"/>
              </w:rPr>
              <w:lastRenderedPageBreak/>
              <w:t>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sidR="002E3630">
        <w:rPr>
          <w:rFonts w:ascii="Times New Roman" w:hAnsi="Times New Roman"/>
          <w:sz w:val="28"/>
          <w:szCs w:val="28"/>
        </w:rPr>
        <w:t xml:space="preserve">по ссылке: </w:t>
      </w:r>
      <w:hyperlink r:id="rId15"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lastRenderedPageBreak/>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(занимаемая)31декабря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lastRenderedPageBreak/>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Pr="00E00F6B">
        <w:rPr>
          <w:rFonts w:ascii="Times New Roman" w:hAnsi="Times New Roman"/>
          <w:sz w:val="28"/>
          <w:szCs w:val="28"/>
        </w:rPr>
        <w:t>в качестве</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 xml:space="preserve">указываетсявеличина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 xml:space="preserve">льности,полученных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 xml:space="preserve">ом, занимающимся частной практикой, указываются денежные средства, </w:t>
      </w:r>
      <w:r w:rsidRPr="00E00F6B">
        <w:rPr>
          <w:rFonts w:ascii="Times New Roman" w:hAnsi="Times New Roman"/>
          <w:sz w:val="28"/>
          <w:szCs w:val="28"/>
        </w:rPr>
        <w:lastRenderedPageBreak/>
        <w:t>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В случае неоднократного получения доходов по вкладам в иностранной валюте за отчетный периоддоход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w:t>
      </w:r>
      <w:r w:rsidRPr="00E00F6B">
        <w:rPr>
          <w:rFonts w:ascii="Times New Roman" w:hAnsi="Times New Roman" w:cs="Times New Roman"/>
          <w:sz w:val="28"/>
          <w:szCs w:val="28"/>
        </w:rPr>
        <w:lastRenderedPageBreak/>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lastRenderedPageBreak/>
        <w:t xml:space="preserve">При этом </w:t>
      </w:r>
      <w:r w:rsidRPr="00E00F6B">
        <w:rPr>
          <w:rStyle w:val="a8"/>
          <w:rFonts w:ascii="Times New Roman" w:hAnsi="Times New Roman" w:cs="Times New Roman"/>
          <w:sz w:val="28"/>
          <w:szCs w:val="28"/>
        </w:rPr>
        <w:t>рекомендуется</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w:t>
      </w:r>
      <w:r w:rsidRPr="00E00F6B">
        <w:rPr>
          <w:color w:val="auto"/>
          <w:sz w:val="28"/>
          <w:szCs w:val="28"/>
        </w:rPr>
        <w:lastRenderedPageBreak/>
        <w:t xml:space="preserve">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lastRenderedPageBreak/>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xml:space="preserve">. Например, материальная выгода, полученная от экономии на процентах за </w:t>
      </w:r>
      <w:r w:rsidR="008C1538" w:rsidRPr="00E00F6B">
        <w:rPr>
          <w:rFonts w:ascii="Times New Roman" w:hAnsi="Times New Roman"/>
          <w:sz w:val="28"/>
          <w:szCs w:val="28"/>
        </w:rPr>
        <w:lastRenderedPageBreak/>
        <w:t>пользование заемными (кредитными)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lastRenderedPageBreak/>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xml:space="preserve">. Во всех </w:t>
      </w:r>
      <w:r w:rsidR="00BB5EB9" w:rsidRPr="00E00F6B">
        <w:rPr>
          <w:rFonts w:ascii="Times New Roman" w:hAnsi="Times New Roman"/>
          <w:sz w:val="28"/>
        </w:rPr>
        <w:lastRenderedPageBreak/>
        <w:t>остальных случаях учитывается только доход служащего (работника)</w:t>
      </w:r>
      <w:r w:rsidR="00E57768" w:rsidRPr="00E00F6B">
        <w:rPr>
          <w:rFonts w:ascii="Times New Roman" w:hAnsi="Times New Roman"/>
          <w:sz w:val="28"/>
          <w:szCs w:val="28"/>
        </w:rPr>
        <w:t>за три последних 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xml:space="preserve">» указывается, например, земельный участокдля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w:t>
      </w:r>
      <w:r w:rsidRPr="00E00F6B">
        <w:rPr>
          <w:rFonts w:ascii="Times New Roman" w:hAnsi="Times New Roman"/>
          <w:spacing w:val="2"/>
          <w:sz w:val="28"/>
          <w:szCs w:val="28"/>
        </w:rPr>
        <w:lastRenderedPageBreak/>
        <w:t xml:space="preserve">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w:t>
      </w:r>
      <w:r w:rsidRPr="00CE138C">
        <w:rPr>
          <w:rFonts w:ascii="Times New Roman" w:hAnsi="Times New Roman"/>
          <w:sz w:val="28"/>
          <w:szCs w:val="28"/>
        </w:rPr>
        <w:lastRenderedPageBreak/>
        <w:t>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lastRenderedPageBreak/>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 xml:space="preserve">сли недвижимое имущество </w:t>
      </w:r>
      <w:r w:rsidR="00980A5D" w:rsidRPr="002E3630">
        <w:rPr>
          <w:rStyle w:val="a8"/>
          <w:rFonts w:ascii="Times New Roman" w:hAnsi="Times New Roman" w:cs="Times New Roman"/>
          <w:color w:val="000000"/>
          <w:sz w:val="28"/>
          <w:szCs w:val="28"/>
        </w:rPr>
        <w:lastRenderedPageBreak/>
        <w:t>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w:t>
      </w:r>
      <w:r w:rsidRPr="002E3630">
        <w:rPr>
          <w:rFonts w:ascii="Times New Roman" w:hAnsi="Times New Roman"/>
          <w:sz w:val="28"/>
          <w:szCs w:val="28"/>
        </w:rPr>
        <w:lastRenderedPageBreak/>
        <w:t xml:space="preserve">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lastRenderedPageBreak/>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1F3E28" w:rsidRPr="002E3630">
        <w:rPr>
          <w:rFonts w:ascii="Times New Roman" w:hAnsi="Times New Roman"/>
          <w:b/>
          <w:color w:val="000000"/>
          <w:sz w:val="28"/>
          <w:szCs w:val="28"/>
        </w:rPr>
        <w:t>«Место регистрации»</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w:t>
      </w:r>
      <w:r w:rsidR="00096ED3" w:rsidRPr="002E3630">
        <w:rPr>
          <w:rFonts w:ascii="Times New Roman" w:hAnsi="Times New Roman"/>
          <w:sz w:val="28"/>
          <w:szCs w:val="28"/>
        </w:rPr>
        <w:lastRenderedPageBreak/>
        <w:t xml:space="preserve">учет транспортного средства, например </w:t>
      </w:r>
      <w:hyperlink r:id="rId18"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19"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lastRenderedPageBreak/>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1"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lastRenderedPageBreak/>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Pr="002E3630">
        <w:rPr>
          <w:rFonts w:ascii="Times New Roman" w:hAnsi="Times New Roman"/>
          <w:sz w:val="28"/>
          <w:szCs w:val="28"/>
        </w:rPr>
        <w:t>в банк или соответствующую кредитную организацию.</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lastRenderedPageBreak/>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tblPr>
      <w:tblGrid>
        <w:gridCol w:w="2235"/>
        <w:gridCol w:w="7335"/>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hyperlink r:id="rId23"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006D784E">
        <w:rPr>
          <w:rFonts w:ascii="Times New Roman" w:hAnsi="Times New Roman"/>
          <w:sz w:val="28"/>
        </w:rPr>
        <w:t>равен или превышает</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lastRenderedPageBreak/>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lastRenderedPageBreak/>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включая договор на ведение индивидуального инвестиционного 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w:t>
      </w:r>
      <w:r w:rsidRPr="00E00F6B">
        <w:rPr>
          <w:rFonts w:ascii="Times New Roman" w:hAnsi="Times New Roman"/>
          <w:sz w:val="28"/>
          <w:szCs w:val="28"/>
        </w:rPr>
        <w:lastRenderedPageBreak/>
        <w:t xml:space="preserve">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lastRenderedPageBreak/>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семьифактически проживаютбез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lastRenderedPageBreak/>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lastRenderedPageBreak/>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lastRenderedPageBreak/>
        <w:t>11) финансовые обязательства, участником которой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720D82">
        <w:rPr>
          <w:rFonts w:ascii="Times New Roman" w:hAnsi="Times New Roman"/>
          <w:sz w:val="28"/>
          <w:szCs w:val="28"/>
        </w:rPr>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sz w:val="28"/>
          <w:szCs w:val="28"/>
        </w:rPr>
        <w:t>Дополучения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lastRenderedPageBreak/>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w:t>
      </w:r>
      <w:r w:rsidR="00D526B3">
        <w:rPr>
          <w:rFonts w:ascii="Times New Roman" w:hAnsi="Times New Roman"/>
          <w:sz w:val="28"/>
          <w:szCs w:val="28"/>
        </w:rPr>
        <w:lastRenderedPageBreak/>
        <w:t>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2E3630">
        <w:rPr>
          <w:rFonts w:ascii="Times New Roman" w:hAnsi="Times New Roman"/>
          <w:sz w:val="28"/>
          <w:szCs w:val="28"/>
        </w:rPr>
        <w:t xml:space="preserve">в уставных капиталах коммерческих организаций и фондахрекомендуется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w:t>
      </w:r>
      <w:r w:rsidR="00B2437B" w:rsidRPr="00427B53">
        <w:rPr>
          <w:rFonts w:ascii="Times New Roman" w:hAnsi="Times New Roman"/>
          <w:sz w:val="28"/>
          <w:szCs w:val="28"/>
        </w:rPr>
        <w:lastRenderedPageBreak/>
        <w:t xml:space="preserve">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 xml:space="preserve">егофамилия,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8"/>
      <w:pgSz w:w="11906" w:h="16838"/>
      <w:pgMar w:top="451" w:right="1134" w:bottom="568" w:left="1418"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571" w:rsidRDefault="00312571" w:rsidP="00204BB5">
      <w:r>
        <w:separator/>
      </w:r>
    </w:p>
  </w:endnote>
  <w:endnote w:type="continuationSeparator" w:id="1">
    <w:p w:rsidR="00312571" w:rsidRDefault="00312571" w:rsidP="00204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CC"/>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571" w:rsidRDefault="00312571" w:rsidP="00204BB5">
      <w:r>
        <w:separator/>
      </w:r>
    </w:p>
  </w:footnote>
  <w:footnote w:type="continuationSeparator" w:id="1">
    <w:p w:rsidR="00312571" w:rsidRDefault="00312571" w:rsidP="00204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4E5" w:rsidRDefault="000C14E5">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651985">
      <w:rPr>
        <w:rFonts w:ascii="Times New Roman" w:hAnsi="Times New Roman"/>
        <w:noProof/>
        <w:sz w:val="28"/>
        <w:szCs w:val="28"/>
      </w:rPr>
      <w:t>9</w:t>
    </w:r>
    <w:r w:rsidRPr="00204BB5">
      <w:rPr>
        <w:rFonts w:ascii="Times New Roman" w:hAnsi="Times New Roman"/>
        <w:sz w:val="28"/>
        <w:szCs w:val="28"/>
      </w:rPr>
      <w:fldChar w:fldCharType="end"/>
    </w:r>
  </w:p>
  <w:p w:rsidR="000C14E5" w:rsidRDefault="000C14E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14E5"/>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571"/>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3E8F"/>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1985"/>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16C"/>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69E"/>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hd_base/?PrtId=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s://gossluzhba.gov.ru/page/index/spravki_bk" TargetMode="External"/><Relationship Id="rId20" Type="http://schemas.openxmlformats.org/officeDocument/2006/relationships/hyperlink" Target="https://www.gibdd.ru/r/66/contacts/div116504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cbr.ru/credit/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fl/interest/inf_baccount/" TargetMode="External"/><Relationship Id="rId28" Type="http://schemas.openxmlformats.org/officeDocument/2006/relationships/header" Target="head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yperlink" Target="http://www.cbr.ru/currency_base/daily.asp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B192CAA-7126-4D41-B812-461DBD7B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47</Pages>
  <Words>18169</Words>
  <Characters>103564</Characters>
  <Application>Microsoft Office Word</Application>
  <DocSecurity>0</DocSecurity>
  <Lines>863</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121491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8</cp:revision>
  <cp:lastPrinted>2019-12-25T09:04:00Z</cp:lastPrinted>
  <dcterms:created xsi:type="dcterms:W3CDTF">2019-12-25T13:56:00Z</dcterms:created>
  <dcterms:modified xsi:type="dcterms:W3CDTF">2020-01-14T14:40:00Z</dcterms:modified>
</cp:coreProperties>
</file>